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AC" w:rsidRDefault="00915CAC">
      <w:pPr>
        <w:pStyle w:val="ConsPlusNormal"/>
        <w:jc w:val="right"/>
        <w:outlineLvl w:val="0"/>
      </w:pPr>
      <w:r>
        <w:t>Приложение 11</w:t>
      </w:r>
    </w:p>
    <w:p w:rsidR="00915CAC" w:rsidRDefault="00915CAC">
      <w:pPr>
        <w:pStyle w:val="ConsPlusNormal"/>
        <w:jc w:val="right"/>
      </w:pPr>
      <w:r>
        <w:t>к решению Думы Белоярского района</w:t>
      </w:r>
    </w:p>
    <w:p w:rsidR="00915CAC" w:rsidRDefault="00915CAC">
      <w:pPr>
        <w:pStyle w:val="ConsPlusNormal"/>
        <w:jc w:val="right"/>
      </w:pPr>
      <w:r>
        <w:t>от 5 декабря 2024 года N 83</w:t>
      </w:r>
    </w:p>
    <w:p w:rsidR="00915CAC" w:rsidRDefault="00915CAC">
      <w:pPr>
        <w:pStyle w:val="ConsPlusNormal"/>
      </w:pPr>
    </w:p>
    <w:p w:rsidR="00915CAC" w:rsidRDefault="00915CAC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915CAC" w:rsidRDefault="00915CAC">
      <w:pPr>
        <w:pStyle w:val="ConsPlusNormal"/>
        <w:jc w:val="center"/>
        <w:rPr>
          <w:b/>
          <w:bCs/>
        </w:rPr>
      </w:pPr>
      <w:r>
        <w:rPr>
          <w:b/>
          <w:bCs/>
        </w:rPr>
        <w:t>ИНЫХ МЕЖБЮДЖЕТНЫХ ТРАНСФЕРТОВ БЮДЖЕТУ БЕЛОЯРСКОГО РАЙОНА</w:t>
      </w:r>
    </w:p>
    <w:p w:rsidR="00915CAC" w:rsidRDefault="00915CAC">
      <w:pPr>
        <w:pStyle w:val="ConsPlusNormal"/>
        <w:jc w:val="center"/>
        <w:rPr>
          <w:b/>
          <w:bCs/>
        </w:rPr>
      </w:pPr>
      <w:r>
        <w:rPr>
          <w:b/>
          <w:bCs/>
        </w:rPr>
        <w:t>НА ПЛАНОВЫЙ ПЕРИОД 2026 И 2027 ГОДОВ</w:t>
      </w:r>
    </w:p>
    <w:p w:rsidR="00915CAC" w:rsidRDefault="00915CAC">
      <w:pPr>
        <w:pStyle w:val="ConsPlusNormal"/>
      </w:pPr>
    </w:p>
    <w:p w:rsidR="00915CAC" w:rsidRDefault="00915CAC">
      <w:pPr>
        <w:pStyle w:val="ConsPlusNormal"/>
        <w:jc w:val="right"/>
      </w:pPr>
      <w:r>
        <w:t>(рублей)</w:t>
      </w:r>
    </w:p>
    <w:p w:rsidR="00915CAC" w:rsidRDefault="00915CA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989"/>
        <w:gridCol w:w="1871"/>
        <w:gridCol w:w="1701"/>
      </w:tblGrid>
      <w:tr w:rsidR="00915CA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915CA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</w:p>
        </w:tc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2027 год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  <w:jc w:val="center"/>
            </w:pPr>
            <w:r>
              <w:t>4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239238200,00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236602300,00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7819900,00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7869900,00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66439300,00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66441100,00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(федеральный бюджет)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718700,00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718700,00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67158000,00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67159800,00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 xml:space="preserve">Итого иных межбюджетных трансфертов из </w:t>
            </w:r>
            <w:r>
              <w:lastRenderedPageBreak/>
              <w:t>бюджета автономного округа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lastRenderedPageBreak/>
              <w:t>7819900,00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7869900,00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239238200,00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236602300,00</w:t>
            </w:r>
          </w:p>
        </w:tc>
      </w:tr>
      <w:tr w:rsidR="00915CA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314216100,00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AC" w:rsidRDefault="00915CAC">
            <w:pPr>
              <w:pStyle w:val="ConsPlusNormal"/>
            </w:pPr>
            <w:r>
              <w:t>311632000,00</w:t>
            </w:r>
          </w:p>
        </w:tc>
      </w:tr>
    </w:tbl>
    <w:p w:rsidR="00915CAC" w:rsidRDefault="00915CAC">
      <w:pPr>
        <w:pStyle w:val="ConsPlusNormal"/>
      </w:pPr>
    </w:p>
    <w:p w:rsidR="00915CAC" w:rsidRDefault="00915CAC">
      <w:pPr>
        <w:pStyle w:val="ConsPlusNormal"/>
      </w:pPr>
    </w:p>
    <w:p w:rsidR="00915CAC" w:rsidRDefault="00915CAC">
      <w:pPr>
        <w:pStyle w:val="ConsPlusNormal"/>
      </w:pPr>
    </w:p>
    <w:p w:rsidR="00915CAC" w:rsidRDefault="00915CAC">
      <w:pPr>
        <w:pStyle w:val="ConsPlusNormal"/>
      </w:pPr>
    </w:p>
    <w:p w:rsidR="00915CAC" w:rsidRDefault="00915CAC">
      <w:pPr>
        <w:pStyle w:val="ConsPlusNormal"/>
      </w:pPr>
      <w:bookmarkStart w:id="0" w:name="_GoBack"/>
      <w:bookmarkEnd w:id="0"/>
    </w:p>
    <w:sectPr w:rsidR="00915CAC" w:rsidSect="00356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CAC"/>
    <w:rsid w:val="00915CAC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B2B9A-196E-4638-BA96-005616B8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5C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2025-06-04T06:04:00Z</dcterms:created>
  <dcterms:modified xsi:type="dcterms:W3CDTF">2025-06-04T06:04:00Z</dcterms:modified>
</cp:coreProperties>
</file>